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bottomFromText="200" w:horzAnchor="margin" w:tblpY="-630"/>
        <w:tblW w:w="9360" w:type="dxa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7941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Times New Roman" w:hAnsi="Times New Roman" w:eastAsia="Times New Roman" w:cs="Times New Roman"/>
                <w:lang w:eastAsia="ar-SA"/>
              </w:rPr>
            </w:pPr>
          </w:p>
          <w:p>
            <w:pPr>
              <w:widowControl w:val="0"/>
              <w:suppressAutoHyphens/>
              <w:autoSpaceDE w:val="0"/>
              <w:autoSpaceDN w:val="0"/>
              <w:adjustRightInd w:val="0"/>
              <w:spacing w:after="200" w:line="360" w:lineRule="auto"/>
              <w:rPr>
                <w:rFonts w:ascii="Times New Roman" w:hAnsi="Times New Roman" w:eastAsia="Times New Roman" w:cs="Times New Roman"/>
                <w:bCs/>
                <w:caps/>
                <w:sz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drawing>
                <wp:inline distT="0" distB="0" distL="0" distR="0">
                  <wp:extent cx="828675" cy="619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5" r="54929" b="707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sz w:val="1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sz w:val="18"/>
              </w:rPr>
              <w:t>Государственное бюджетное профессиональное образовательное</w:t>
            </w:r>
          </w:p>
          <w:p>
            <w:pPr>
              <w:widowControl w:val="0"/>
              <w:suppressAutoHyphens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hAnsi="Times New Roman" w:eastAsia="Times New Roman" w:cs="Times New Roman"/>
                <w:sz w:val="1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8"/>
              </w:rPr>
              <w:t>УЧРЕЖДЕНИЕ  «ЧЕЛЯБИНСКИЙ МЕХАНИКО – ТЕХНОЛОГИЧЕСКИЙ ТЕХНИКУМ»</w:t>
            </w:r>
          </w:p>
        </w:tc>
      </w:tr>
    </w:tbl>
    <w:p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bCs/>
          <w:caps/>
          <w:sz w:val="28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aps/>
          <w:sz w:val="28"/>
          <w:szCs w:val="36"/>
          <w:lang w:eastAsia="ru-RU"/>
        </w:rPr>
      </w:pPr>
      <w:r>
        <w:rPr>
          <w:rFonts w:ascii="Times New Roman" w:hAnsi="Times New Roman" w:eastAsia="Calibri" w:cs="Times New Roman"/>
          <w:b/>
          <w:caps/>
          <w:sz w:val="28"/>
          <w:szCs w:val="36"/>
          <w:lang w:eastAsia="ru-RU"/>
        </w:rPr>
        <w:t>ПРОГРАММа Производственной практики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eastAsia="Calibri" w:cs="Times New Roman"/>
          <w:caps/>
          <w:sz w:val="28"/>
          <w:szCs w:val="36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>
      <w:pPr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по специальности </w:t>
      </w:r>
    </w:p>
    <w:p>
      <w:pPr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Челябинск, 202</w:t>
      </w:r>
      <w:r>
        <w:rPr>
          <w:rFonts w:hint="default" w:ascii="Times New Roman" w:hAnsi="Times New Roman" w:eastAsia="Calibri" w:cs="Times New Roman"/>
          <w:sz w:val="24"/>
          <w:szCs w:val="24"/>
          <w:lang w:val="en-US" w:eastAsia="ru-RU"/>
        </w:rPr>
        <w:t>3</w:t>
      </w:r>
    </w:p>
    <w:p>
      <w:pPr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СОДЕРЖАНИЕ</w:t>
      </w: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ПАСПОРТ ПРОГРАММЫ ПРОИЗВОДСТВЕННОЙ 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 ПРАКТИКИ                                                                                                      3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ТЕМАТИЧЕСКИЙ ПЛАН И СОДЕРЖАНИЕ                                           5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ПРОИЗВОДСТВЕННОЙ ПРАКТИКИ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УСЛОВИЯ РЕАЛИЗАЦИИ ПРОИЗВОДСТВЕННОЙ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 ПРАКТИКИ                                                                                                      6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КОНТРОЛЬ И ОЦЕНКА РЕЗУЛЬТАТОВ ОСВОЕНИЯ  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ПРОИЗВОДСТВЕННОЙ ПРАКТИКИ                                                         10</w:t>
      </w: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360" w:lineRule="auto"/>
        <w:ind w:left="360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val="en-GB" w:eastAsia="ru-RU"/>
        </w:rPr>
        <w:t>I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. ПАСПОРТ ПРОГРАММЫ ПРОИЗВОДСТВЕННОЙ ПРАКТИКИ</w:t>
      </w:r>
    </w:p>
    <w:p>
      <w:pPr>
        <w:spacing w:after="0" w:line="240" w:lineRule="auto"/>
        <w:ind w:left="360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Область применения программы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Рабочая программа производственной практики является частью основной профессиональной образовательной программы, разработанной в соответствии с ФГОС СПО по специальности</w:t>
      </w:r>
      <w:r>
        <w:rPr>
          <w:rFonts w:ascii="Times New Roman" w:hAnsi="Times New Roman" w:eastAsia="Calibri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43.02.15 ПОВАРСКОЕ И КОНДИТЕРСКОЕ ДЕЛО, </w:t>
      </w:r>
      <w:r>
        <w:rPr>
          <w:rFonts w:ascii="Times New Roman" w:hAnsi="Times New Roman" w:eastAsia="Calibri" w:cs="Times New Roman"/>
          <w:bCs/>
          <w:sz w:val="28"/>
          <w:szCs w:val="28"/>
          <w:lang w:eastAsia="ru-RU"/>
        </w:rPr>
        <w:t>утвержденного приказом Министерства образования и науки РФ от 09 декабря 2016 г. №1565.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bCs/>
          <w:sz w:val="28"/>
          <w:szCs w:val="28"/>
          <w:lang w:eastAsia="ru-RU"/>
        </w:rPr>
        <w:t xml:space="preserve">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276" w:lineRule="auto"/>
        <w:ind w:firstLine="66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производственной практики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результате прохождении производственной практики  студент должен освоить основной вид деятельности: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соответствующие ему общие компетенции и профессиональные компетенции:</w:t>
      </w:r>
    </w:p>
    <w:p>
      <w:pPr>
        <w:spacing w:after="0"/>
        <w:ind w:firstLine="6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1.2.1. Перечень общих компетенций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83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ОК.03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ОК.05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ОК.07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</w:t>
            </w:r>
            <w:bookmarkStart w:id="1" w:name="_GoBack"/>
            <w:bookmarkEnd w:id="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.08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ОК.09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ОК.10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>
      <w:pPr>
        <w:keepNext/>
        <w:spacing w:after="0" w:line="240" w:lineRule="auto"/>
        <w:jc w:val="both"/>
        <w:outlineLvl w:val="1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>
      <w:pPr>
        <w:keepNext/>
        <w:spacing w:after="0" w:line="240" w:lineRule="auto"/>
        <w:ind w:firstLine="770"/>
        <w:jc w:val="both"/>
        <w:outlineLvl w:val="1"/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8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646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ВД 4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>
      <w:p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В результате прохождения производственной практики  студент должен: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spacing w:after="0" w:line="240" w:lineRule="auto"/>
              <w:ind w:left="29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193" w:type="dxa"/>
          </w:tcPr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>
            <w:pPr>
              <w:spacing w:after="0" w:line="240" w:lineRule="auto"/>
              <w:ind w:left="34" w:firstLine="702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Количество часов на производственную практику: 108 часов</w:t>
      </w:r>
    </w:p>
    <w:p>
      <w:pPr>
        <w:spacing w:after="0" w:line="240" w:lineRule="auto"/>
        <w:ind w:left="720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ind w:left="720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ТЕМАТИЧЕСКИЙ ПЛАН И СОДЕРЖАНИЕ ПРОИЗВОДСТВЕННОЙ ПРАКТИКИ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tbl>
      <w:tblPr>
        <w:tblStyle w:val="3"/>
        <w:tblW w:w="100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9"/>
        <w:gridCol w:w="1180"/>
        <w:gridCol w:w="680"/>
        <w:gridCol w:w="4961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235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профессионального модуля</w:t>
            </w:r>
          </w:p>
        </w:tc>
        <w:tc>
          <w:tcPr>
            <w:tcW w:w="118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ПК</w:t>
            </w:r>
          </w:p>
        </w:tc>
        <w:tc>
          <w:tcPr>
            <w:tcW w:w="68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производственной практики</w:t>
            </w:r>
          </w:p>
        </w:tc>
        <w:tc>
          <w:tcPr>
            <w:tcW w:w="88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359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1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359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</w:p>
          <w:p>
            <w:pPr>
              <w:spacing w:after="0" w:line="310" w:lineRule="atLeast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restart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4.1; ПК 4.2; ПК 4.3; ПК 4.4;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4.5.;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4.6;</w:t>
            </w: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предприятием общественного питания. Инструктаж по охране труда и технике безопасности.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Разработка ассортимента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холодных десертов 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Оформление заявок на продукты, расходные материалы.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Организации технологического процесса приготовления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холодных десертов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>. Прием по количеству и качеству продуктов, расходных материалов.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Приготовление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холодных десертов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, применяя различные технологии, оборудование и инвентарь.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и оформление.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 качества готовых десертов.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Разработка ассортимента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горячих десертов 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Оформление заявок на продукты, расходные материалы.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Организации технологического процесса приготовления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горячих десертов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>. Прием по количеству и качеству продуктов, расходных материалов.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Приготовление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горячих десертов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, применяя различные технологии, оборудование и инвентарь.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и оформление.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 качества готовых десертов.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Разработка ассортимента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горячих напитков 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Оформление заявок на продукты, расходные материалы.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Организации технологического процесса приготовления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горячих напитков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>. Прием по количеству и качеству продуктов, расходных материалов.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Приготовление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горячих напитков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, применяя различные технологии, оборудование и инвентарь.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и оформление.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 качества готовых напитков.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Разработка ассортимента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холодных напитков 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Оформление заявок на продукты, расходные материалы.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Организации технологического процесса приготовления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холодных напитков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>. Прием по количеству и качеству продуктов, расходных материалов.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Приготовление сложных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холодных напитков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, применяя различные технологии, оборудование и инвентарь.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и оформление.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 качества готовых напитков.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отчета. Зачет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val="en-GB" w:eastAsia="ru-RU"/>
        </w:rPr>
        <w:t>III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. УСЛОВИЯ РЕАЛИЗАЦИИ ПРОИЗВОДСТВЕННОЙ ПРАКТИКИ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3.1. Общие требования к организации производственной практики </w:t>
      </w:r>
    </w:p>
    <w:p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Производственная практика проводится на завершающем этапе обучения по профессиональному модулю, на рабочих местах в организациях и предприятиях по профилю специальности, различных организационно-правовых форм на основе прямых договоров, заключаемых между организациями, предприятиями и ГБПОУ ЧМТТ. Во время производственной практики, обучающиеся самостоятельно выполняют работы, соответствующие виду деятельности профессионального модуля. </w:t>
      </w:r>
    </w:p>
    <w:p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Руководство производственной практикой учебной группы осуществляет мастер производственного обучения, который несет ответственность за выполнение программы практики.</w:t>
      </w:r>
    </w:p>
    <w:p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Руководителем производственной практики непосредственно на предприятии является лицо, назначенное приказом руководителя предприятия из числа инженерно-технических работников или опытных высококвалифицированных рабочих. С обучающимися проводится инструктаж по технике безопасности, электробезопасности и пожарной безопасности непосредственно на предприятии, т.е. на рабочем месте практиканта.</w:t>
      </w:r>
    </w:p>
    <w:p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Во время прохождения производственной практики обучающийся ведет дневник учета выполненных работ за каждый рабочий день. Руководитель практики от предприятия должен оценивать ежедневную работу обучающегося и выставлять соответствующую оценку в дневник. По окончании практики обучающемуся выдается производственная характеристика, где дается оценка уровня сформированности</w:t>
      </w:r>
      <w:r>
        <w:rPr>
          <w:rFonts w:ascii="Times New Roman" w:hAnsi="Times New Roman" w:eastAsia="Calibri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профессиональных качеств.</w:t>
      </w:r>
    </w:p>
    <w:p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3.2. Требование к минимальному материально – техническому обеспечению.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Реализация рабочей программы производственной практики предполагает наличие: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 Оборудованные современными техническими средствами, рабочими местами;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 Организация рабочего места с учетом использования современных информационных технологий;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 Комплект нормативно – технической документации (ГОСТ, ОСТ, ТУ, СанПиН), а также комплект бланков сопроводительных документов и кассовых документов, форм отчетности.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 по специальности   43. 02. 15 Поварское и кондитерское дело.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Реализация программы производственной практики предполагает проводить практику концентрированно, после завершения выполнения определенных видов работ по учебной практике в соответствии с профессиональными модулями по данной специальности. Материально – техническая база организации должна соответствовать действующим санитарным и противопожарным нормам.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3.3. Требование к организации и проведению производственной практики: 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Производственная практика проходит в соответствии с учебным планом, графиком учебного процесса и запросами работодателей, а также с учетом потребностей рынка труда. Обязательными условием допуска к производственной практике является формирование  умений и знаний, сформированных на МДК и учебной практике в рамках профессионального модуля «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». </w:t>
      </w: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Промежуточная аттестация по итогам производственной практики проводится в форме зачета в виде защиты отчета по производственной практике, с учетом результатов, подтвержденных документами организации, на которой студентом проходилась производственная практика. 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3.4. Характеристика рабочих мест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680"/>
        <w:gridCol w:w="3678"/>
        <w:gridCol w:w="3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80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Наименование цехов</w:t>
            </w:r>
          </w:p>
        </w:tc>
        <w:tc>
          <w:tcPr>
            <w:tcW w:w="3678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3114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Применяемые инструменты (приспособления)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80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Кондитерский цех </w:t>
            </w:r>
          </w:p>
        </w:tc>
        <w:tc>
          <w:tcPr>
            <w:tcW w:w="3678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Мукопросеиватели, мельницы, тестомесы, планетарные миксеры, смесительно-сбивальные, отсадочно-дозировочные и формовочные машины, конвекционные печи, тестомесильные мащины</w:t>
            </w:r>
          </w:p>
        </w:tc>
        <w:tc>
          <w:tcPr>
            <w:tcW w:w="3114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венчики, лопатки, кондитерские кисти, кондитерские мешки, формы для выпекания, коврики силиконовые, трафареты, воронки кондитерские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80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4"/>
                <w:szCs w:val="24"/>
                <w:lang w:eastAsia="ru-RU"/>
              </w:rPr>
              <w:t>Холодный  цех</w:t>
            </w:r>
          </w:p>
        </w:tc>
        <w:tc>
          <w:tcPr>
            <w:tcW w:w="3678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Холодильные шкафы, производственные столы, стеллажи,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производственные столы с охлаждаемым шкафом, горкой и емкостью для салата, слайсеры, шкафы шоковой заморозки,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весы электронные;</w:t>
            </w:r>
          </w:p>
        </w:tc>
        <w:tc>
          <w:tcPr>
            <w:tcW w:w="3114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формы для моделирования, яйцерезки,   доски разделочные,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Ножи (гастрономические: для нарезки ветчины, масла, сыра, колбасы; нож-вилка; фигурные; поварской тройки, формы для муссов, желе, заливных блюд, гастроемкости, </w:t>
            </w:r>
            <w:r>
              <w:rPr>
                <w:rFonts w:ascii="Arial" w:hAnsi="Arial" w:cs="Arial"/>
                <w:color w:val="000000"/>
                <w:sz w:val="34"/>
                <w:szCs w:val="34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80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4"/>
                <w:szCs w:val="24"/>
                <w:lang w:eastAsia="ru-RU"/>
              </w:rPr>
              <w:t>Горячий  цех</w:t>
            </w:r>
          </w:p>
        </w:tc>
        <w:tc>
          <w:tcPr>
            <w:tcW w:w="3678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Эл.печь, пищеварочные котлы, жарочный шкаф, эл.сковорода, пароконвектомат, эл.фритюрница, мармит, пароварочный аппарат, микроволновая печь, холодильные шкафы, производственные столы, стеллажи, протирочная машина, мармит, блендер.</w:t>
            </w:r>
          </w:p>
        </w:tc>
        <w:tc>
          <w:tcPr>
            <w:tcW w:w="3114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Наплитная посуда,, сковороды, сотейники, кастрюли, половники, шумовки, кокотницы, порционные сковороды, казаны, формы для запекания, посуда для подачи горячих блюд.</w:t>
            </w:r>
          </w:p>
        </w:tc>
      </w:tr>
    </w:tbl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3.5. Информационное обеспечение обучения </w:t>
      </w:r>
    </w:p>
    <w:p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bookmarkStart w:id="0" w:name="_Hlk27576771"/>
      <w:r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 (печатные):</w:t>
      </w:r>
    </w:p>
    <w:p>
      <w:pPr>
        <w:pStyle w:val="11"/>
        <w:numPr>
          <w:ilvl w:val="0"/>
          <w:numId w:val="3"/>
        </w:numPr>
        <w:tabs>
          <w:tab w:val="left" w:pos="426"/>
        </w:tabs>
        <w:jc w:val="both"/>
      </w:pPr>
      <w:r>
        <w:t>Качурина Т.А. Организация и ведение процессов приготовления, оформления и подготовки к реализации холодных блюд, кулинарных изделий, закусок сложного ассортимента: учеб. для студ.учереждений сред. проф. образования / Т.А. Качурина. – М.: Издательский центр « Академия», 2018. – 256 с: ил., с цв.вкл.</w:t>
      </w:r>
    </w:p>
    <w:p>
      <w:pPr>
        <w:pStyle w:val="11"/>
        <w:tabs>
          <w:tab w:val="left" w:pos="426"/>
        </w:tabs>
        <w:jc w:val="both"/>
      </w:pPr>
      <w:r>
        <w:rPr>
          <w:b/>
          <w:i/>
        </w:rPr>
        <w:t>Дополнительная литература</w:t>
      </w:r>
      <w:r>
        <w:t>:</w:t>
      </w:r>
    </w:p>
    <w:p>
      <w:pPr>
        <w:pStyle w:val="11"/>
        <w:tabs>
          <w:tab w:val="left" w:pos="426"/>
        </w:tabs>
        <w:ind w:left="786" w:hanging="360"/>
        <w:jc w:val="both"/>
      </w:pPr>
      <w:r>
        <w:t xml:space="preserve"> 1. Володина М.В. Организация хранения и контроль запасов и сырья: учеб.для студ. Учреждений сред. проф. образования /М.В. Володина, Т.А. Сопачева. – 2-е изд., стер. – М: Издательский центр « Академия», 2019. –192 с:</w:t>
      </w:r>
    </w:p>
    <w:p>
      <w:pPr>
        <w:pStyle w:val="11"/>
        <w:numPr>
          <w:ilvl w:val="0"/>
          <w:numId w:val="3"/>
        </w:numPr>
        <w:tabs>
          <w:tab w:val="left" w:pos="426"/>
        </w:tabs>
        <w:jc w:val="both"/>
      </w:pPr>
      <w:r>
        <w:t>Потапова И.И. основы калькуляции и учета: учеб. для студ. учереждений сред. проф. Образования / И.И. Потапова. – 3-е изд., стер.- М: Издательский центр « Академия», 2019. –192 с:</w:t>
      </w:r>
    </w:p>
    <w:p>
      <w:pPr>
        <w:pStyle w:val="11"/>
        <w:numPr>
          <w:ilvl w:val="0"/>
          <w:numId w:val="3"/>
        </w:numPr>
        <w:tabs>
          <w:tab w:val="left" w:pos="426"/>
        </w:tabs>
        <w:jc w:val="both"/>
      </w:pPr>
      <w:r>
        <w:t>Счесленок Л.Л. организация обслуживания: учебник для студ. Учреждений сред.проф. образования / Л.Л. Счесленок. - М: Издательский центр « Академия», 2018. –208 с:</w:t>
      </w:r>
    </w:p>
    <w:p>
      <w:pPr>
        <w:pStyle w:val="11"/>
        <w:numPr>
          <w:ilvl w:val="0"/>
          <w:numId w:val="3"/>
        </w:numPr>
        <w:tabs>
          <w:tab w:val="left" w:pos="426"/>
        </w:tabs>
        <w:jc w:val="both"/>
      </w:pPr>
      <w:r>
        <w:t>Лутошкина Г.Г. Техническое оснащение организаций питания: учеб.для студ. учереждений сред. проф. образования/ Г.Г. Лутошкина, Ж.С. Анохина  . – 3-е изд., стер. – М: Издательский центр « Академия», 2018. –240 с:</w:t>
      </w:r>
    </w:p>
    <w:p>
      <w:pPr>
        <w:pStyle w:val="11"/>
        <w:tabs>
          <w:tab w:val="left" w:pos="426"/>
        </w:tabs>
        <w:ind w:left="426"/>
        <w:jc w:val="both"/>
        <w:rPr>
          <w:b/>
          <w:i/>
        </w:rPr>
      </w:pPr>
      <w:r>
        <w:rPr>
          <w:b/>
          <w:i/>
        </w:rPr>
        <w:t>Интернет – ресурсы:</w:t>
      </w:r>
    </w:p>
    <w:p>
      <w:pPr>
        <w:pStyle w:val="11"/>
        <w:tabs>
          <w:tab w:val="left" w:pos="426"/>
        </w:tabs>
        <w:ind w:left="426"/>
        <w:jc w:val="both"/>
        <w:rPr>
          <w:b/>
          <w:i/>
        </w:rPr>
      </w:pPr>
      <w:r>
        <w:fldChar w:fldCharType="begin"/>
      </w:r>
      <w:r>
        <w:instrText xml:space="preserve"> HYPERLINK "https://tekhnolog.com/" </w:instrText>
      </w:r>
      <w:r>
        <w:fldChar w:fldCharType="separate"/>
      </w:r>
      <w:r>
        <w:rPr>
          <w:rStyle w:val="4"/>
          <w:b/>
          <w:i/>
        </w:rPr>
        <w:t>https://tekhnolog.com/</w:t>
      </w:r>
      <w:r>
        <w:rPr>
          <w:rStyle w:val="4"/>
          <w:b/>
          <w:i/>
        </w:rPr>
        <w:fldChar w:fldCharType="end"/>
      </w:r>
    </w:p>
    <w:p>
      <w:pPr>
        <w:pStyle w:val="11"/>
        <w:tabs>
          <w:tab w:val="left" w:pos="426"/>
        </w:tabs>
        <w:ind w:left="426"/>
        <w:jc w:val="both"/>
        <w:rPr>
          <w:b/>
          <w:i/>
        </w:rPr>
      </w:pPr>
      <w:r>
        <w:fldChar w:fldCharType="begin"/>
      </w:r>
      <w:r>
        <w:instrText xml:space="preserve"> HYPERLINK "https://food.ru/" </w:instrText>
      </w:r>
      <w:r>
        <w:fldChar w:fldCharType="separate"/>
      </w:r>
      <w:r>
        <w:rPr>
          <w:rStyle w:val="4"/>
          <w:b/>
          <w:i/>
        </w:rPr>
        <w:t>https://food.ru/</w:t>
      </w:r>
      <w:r>
        <w:rPr>
          <w:rStyle w:val="4"/>
          <w:b/>
          <w:i/>
        </w:rPr>
        <w:fldChar w:fldCharType="end"/>
      </w:r>
    </w:p>
    <w:p>
      <w:pPr>
        <w:pStyle w:val="11"/>
        <w:tabs>
          <w:tab w:val="left" w:pos="426"/>
        </w:tabs>
        <w:ind w:left="426"/>
        <w:jc w:val="both"/>
        <w:rPr>
          <w:b/>
          <w:i/>
        </w:rPr>
      </w:pP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bookmarkEnd w:id="0"/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sz w:val="28"/>
          <w:szCs w:val="28"/>
          <w:lang w:val="en-US" w:eastAsia="ru-RU"/>
        </w:rPr>
        <w:t>IV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. КОНТРОЛЬ И ОЦЕНКА РЕЗУЛЬТАТОВ ОСВОЕНИЯ ПРОИЗВОДСТВЕННОЙ ПРАКТИКИ                                                          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обучения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(практический опыт )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оценки результатов обучения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Иметь практический опыт:  </w:t>
            </w:r>
          </w:p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>
            <w:pPr>
              <w:ind w:firstLine="5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  <w:tc>
          <w:tcPr>
            <w:tcW w:w="414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Дневник производственной практики</w:t>
            </w:r>
          </w:p>
          <w:p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Аттестационный лист</w:t>
            </w:r>
          </w:p>
          <w:p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Производственная характеристика</w:t>
            </w:r>
          </w:p>
          <w:p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Дополнительно: </w:t>
            </w:r>
          </w:p>
          <w:p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рекомендации работодателя о присваиваемом разряде</w:t>
            </w:r>
          </w:p>
          <w:p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отзывы с места практики</w:t>
            </w:r>
          </w:p>
          <w:p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приказы о поощрениях</w:t>
            </w:r>
          </w:p>
          <w:p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зачет.</w:t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/>
    <w:sectPr>
      <w:footerReference r:id="rId5" w:type="default"/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</w:p>
  <w:p>
    <w:pPr>
      <w:pStyle w:val="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854F57"/>
    <w:multiLevelType w:val="multilevel"/>
    <w:tmpl w:val="50854F57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05A3416"/>
    <w:multiLevelType w:val="multilevel"/>
    <w:tmpl w:val="605A3416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cs="Times New Roman"/>
        <w:b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800"/>
        </w:tabs>
        <w:ind w:left="1800" w:hanging="1800"/>
      </w:pPr>
      <w:rPr>
        <w:rFonts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800"/>
      </w:pPr>
      <w:rPr>
        <w:rFonts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2160"/>
      </w:pPr>
      <w:rPr>
        <w:rFonts w:cs="Times New Roman"/>
      </w:rPr>
    </w:lvl>
  </w:abstractNum>
  <w:abstractNum w:abstractNumId="2">
    <w:nsid w:val="79B14975"/>
    <w:multiLevelType w:val="multilevel"/>
    <w:tmpl w:val="79B14975"/>
    <w:lvl w:ilvl="0" w:tentative="0">
      <w:start w:val="2"/>
      <w:numFmt w:val="upperRoman"/>
      <w:lvlText w:val="%1."/>
      <w:lvlJc w:val="left"/>
      <w:pPr>
        <w:ind w:left="1080" w:hanging="72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6053B9"/>
    <w:rsid w:val="00111397"/>
    <w:rsid w:val="001A051E"/>
    <w:rsid w:val="00234128"/>
    <w:rsid w:val="002608BD"/>
    <w:rsid w:val="0035739B"/>
    <w:rsid w:val="003B4F14"/>
    <w:rsid w:val="00492905"/>
    <w:rsid w:val="004D1027"/>
    <w:rsid w:val="004D3990"/>
    <w:rsid w:val="004E58C8"/>
    <w:rsid w:val="00506E61"/>
    <w:rsid w:val="006053B9"/>
    <w:rsid w:val="00672919"/>
    <w:rsid w:val="006E053C"/>
    <w:rsid w:val="00765737"/>
    <w:rsid w:val="0076742B"/>
    <w:rsid w:val="0077076B"/>
    <w:rsid w:val="008553DA"/>
    <w:rsid w:val="008A2D00"/>
    <w:rsid w:val="0091683E"/>
    <w:rsid w:val="00935EE9"/>
    <w:rsid w:val="00994754"/>
    <w:rsid w:val="00995ADD"/>
    <w:rsid w:val="00A758C3"/>
    <w:rsid w:val="00AB040A"/>
    <w:rsid w:val="00AD2035"/>
    <w:rsid w:val="00B24E28"/>
    <w:rsid w:val="00B73421"/>
    <w:rsid w:val="00BF1DA7"/>
    <w:rsid w:val="00C31F68"/>
    <w:rsid w:val="00CD641F"/>
    <w:rsid w:val="00D17A23"/>
    <w:rsid w:val="00DA6005"/>
    <w:rsid w:val="00E6640B"/>
    <w:rsid w:val="00E84800"/>
    <w:rsid w:val="00F80116"/>
    <w:rsid w:val="00FC2AE9"/>
    <w:rsid w:val="631E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head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8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8">
    <w:name w:val="Нижний колонтитул Знак"/>
    <w:basedOn w:val="2"/>
    <w:link w:val="7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9">
    <w:name w:val="Верхний колонтитул Знак"/>
    <w:basedOn w:val="2"/>
    <w:link w:val="6"/>
    <w:qFormat/>
    <w:uiPriority w:val="99"/>
  </w:style>
  <w:style w:type="character" w:customStyle="1" w:styleId="10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styleId="11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5BB77-F979-422F-AB3B-F949CD8A13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2416</Words>
  <Characters>13773</Characters>
  <Lines>114</Lines>
  <Paragraphs>32</Paragraphs>
  <TotalTime>1</TotalTime>
  <ScaleCrop>false</ScaleCrop>
  <LinksUpToDate>false</LinksUpToDate>
  <CharactersWithSpaces>16157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2021-10-31T15:34:00Z</dcterms:created>
  <dc:creator>User</dc:creator>
  <cp:lastModifiedBy>User</cp:lastModifiedBy>
  <dcterms:modified xsi:type="dcterms:W3CDTF">2024-01-25T11:01:06Z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C55986FC83A8478EB8FA7214F4904E6E_12</vt:lpwstr>
  </property>
</Properties>
</file>